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A6" w:rsidRPr="00E36014" w:rsidRDefault="00377BA6" w:rsidP="00E3601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6014">
        <w:rPr>
          <w:rFonts w:ascii="Times New Roman" w:hAnsi="Times New Roman" w:cs="Times New Roman"/>
          <w:color w:val="auto"/>
          <w:sz w:val="24"/>
          <w:szCs w:val="24"/>
        </w:rPr>
        <w:t>АВТОНОМНАЯ   НЕКОММЕРЧЕСКАЯ   ОРГАНИЗАЦИЯ</w:t>
      </w:r>
    </w:p>
    <w:p w:rsidR="00377BA6" w:rsidRPr="00E36014" w:rsidRDefault="00377BA6" w:rsidP="00E3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4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377BA6" w:rsidRPr="00E36014" w:rsidRDefault="00377BA6" w:rsidP="00E3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4">
        <w:rPr>
          <w:rFonts w:ascii="Times New Roman" w:hAnsi="Times New Roman" w:cs="Times New Roman"/>
          <w:b/>
          <w:sz w:val="24"/>
          <w:szCs w:val="24"/>
        </w:rPr>
        <w:t xml:space="preserve">«ЦЕНТРАЛЬНЫЙ </w:t>
      </w:r>
      <w:r w:rsidR="006E3930" w:rsidRPr="00E36014">
        <w:rPr>
          <w:rFonts w:ascii="Times New Roman" w:hAnsi="Times New Roman" w:cs="Times New Roman"/>
          <w:b/>
          <w:sz w:val="24"/>
          <w:szCs w:val="24"/>
        </w:rPr>
        <w:t xml:space="preserve"> МНОГОПРОФИ</w:t>
      </w:r>
      <w:r w:rsidRPr="00E36014">
        <w:rPr>
          <w:rFonts w:ascii="Times New Roman" w:hAnsi="Times New Roman" w:cs="Times New Roman"/>
          <w:b/>
          <w:sz w:val="24"/>
          <w:szCs w:val="24"/>
        </w:rPr>
        <w:t>ЛЬНЫЙ  ИНСТИТУТ»</w:t>
      </w:r>
    </w:p>
    <w:p w:rsidR="00377BA6" w:rsidRPr="00A5255F" w:rsidRDefault="00377BA6" w:rsidP="00377BA6">
      <w:pPr>
        <w:rPr>
          <w:rFonts w:ascii="Times New Roman" w:hAnsi="Times New Roman" w:cs="Times New Roman"/>
          <w:b/>
          <w:sz w:val="24"/>
          <w:szCs w:val="24"/>
        </w:rPr>
      </w:pPr>
    </w:p>
    <w:p w:rsidR="00377BA6" w:rsidRPr="00A5255F" w:rsidRDefault="00377BA6" w:rsidP="00A5255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25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УТВЕРЖДАЮ</w:t>
      </w:r>
    </w:p>
    <w:p w:rsidR="00377BA6" w:rsidRPr="00A5255F" w:rsidRDefault="00377BA6" w:rsidP="00A5255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25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Ректор АНО ДПО «ЦМИ»</w:t>
      </w:r>
    </w:p>
    <w:p w:rsidR="00503742" w:rsidRDefault="00377BA6" w:rsidP="00377BA6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503742">
        <w:rPr>
          <w:rFonts w:ascii="Times New Roman" w:hAnsi="Times New Roman" w:cs="Times New Roman"/>
          <w:b/>
        </w:rPr>
        <w:t xml:space="preserve">                    </w:t>
      </w:r>
      <w:r w:rsidR="00A5255F" w:rsidRPr="0050374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99B2128" wp14:editId="4F53E840">
            <wp:extent cx="1455869" cy="1114185"/>
            <wp:effectExtent l="0" t="0" r="0" b="0"/>
            <wp:docPr id="6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69" cy="11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742">
        <w:rPr>
          <w:rFonts w:ascii="Times New Roman" w:hAnsi="Times New Roman" w:cs="Times New Roman"/>
          <w:b/>
        </w:rPr>
        <w:t xml:space="preserve">       </w:t>
      </w:r>
    </w:p>
    <w:p w:rsidR="00503742" w:rsidRPr="00A5255F" w:rsidRDefault="00503742" w:rsidP="00A5255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5255F">
        <w:rPr>
          <w:rFonts w:ascii="Times New Roman" w:hAnsi="Times New Roman" w:cs="Times New Roman"/>
          <w:b/>
          <w:noProof/>
          <w:lang w:eastAsia="ru-RU"/>
        </w:rPr>
        <w:t xml:space="preserve">       </w:t>
      </w:r>
      <w:r w:rsidRPr="00A5255F">
        <w:rPr>
          <w:rFonts w:ascii="Times New Roman" w:hAnsi="Times New Roman" w:cs="Times New Roman"/>
          <w:b/>
          <w:sz w:val="20"/>
          <w:szCs w:val="20"/>
        </w:rPr>
        <w:t xml:space="preserve">А.Х. </w:t>
      </w:r>
      <w:proofErr w:type="spellStart"/>
      <w:r w:rsidRPr="00A5255F">
        <w:rPr>
          <w:rFonts w:ascii="Times New Roman" w:hAnsi="Times New Roman" w:cs="Times New Roman"/>
          <w:b/>
          <w:sz w:val="20"/>
          <w:szCs w:val="20"/>
        </w:rPr>
        <w:t>Тамбиев</w:t>
      </w:r>
      <w:proofErr w:type="spellEnd"/>
    </w:p>
    <w:p w:rsidR="00503742" w:rsidRPr="00A5255F" w:rsidRDefault="00503742" w:rsidP="00A5255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25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5255F" w:rsidRPr="00A5255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5255F">
        <w:rPr>
          <w:rFonts w:ascii="Times New Roman" w:hAnsi="Times New Roman" w:cs="Times New Roman"/>
          <w:b/>
          <w:sz w:val="20"/>
          <w:szCs w:val="20"/>
        </w:rPr>
        <w:t>«09» июля 2020г.</w:t>
      </w:r>
    </w:p>
    <w:p w:rsidR="00503742" w:rsidRDefault="00503742" w:rsidP="00377BA6">
      <w:pPr>
        <w:rPr>
          <w:rFonts w:ascii="Times New Roman" w:hAnsi="Times New Roman" w:cs="Times New Roman"/>
          <w:b/>
        </w:rPr>
      </w:pPr>
    </w:p>
    <w:p w:rsidR="00503742" w:rsidRDefault="00503742" w:rsidP="005037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742" w:rsidRDefault="00503742" w:rsidP="005037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</w:p>
    <w:p w:rsidR="00503742" w:rsidRDefault="00503742" w:rsidP="00377BA6">
      <w:pPr>
        <w:rPr>
          <w:rFonts w:ascii="Times New Roman" w:hAnsi="Times New Roman" w:cs="Times New Roman"/>
          <w:b/>
        </w:rPr>
      </w:pPr>
    </w:p>
    <w:p w:rsidR="00503742" w:rsidRDefault="00503742" w:rsidP="00657D6D">
      <w:pPr>
        <w:spacing w:after="0"/>
        <w:rPr>
          <w:rFonts w:ascii="Times New Roman" w:hAnsi="Times New Roman" w:cs="Times New Roman"/>
          <w:b/>
        </w:rPr>
      </w:pPr>
    </w:p>
    <w:p w:rsidR="00717CB7" w:rsidRPr="00A5255F" w:rsidRDefault="00717CB7" w:rsidP="00657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5F">
        <w:rPr>
          <w:rFonts w:ascii="Times New Roman" w:hAnsi="Times New Roman" w:cs="Times New Roman"/>
          <w:sz w:val="24"/>
          <w:szCs w:val="24"/>
        </w:rPr>
        <w:t>Программа повышения квалификации по специальности</w:t>
      </w:r>
    </w:p>
    <w:p w:rsidR="00A360DD" w:rsidRDefault="00343907" w:rsidP="00A360DD">
      <w:pPr>
        <w:spacing w:after="0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A360DD">
        <w:rPr>
          <w:rFonts w:ascii="Times New Roman" w:hAnsi="Times New Roman" w:cs="Times New Roman"/>
          <w:sz w:val="24"/>
          <w:szCs w:val="24"/>
        </w:rPr>
        <w:t xml:space="preserve"> </w:t>
      </w:r>
      <w:r w:rsidR="00717CB7" w:rsidRPr="00A360DD">
        <w:rPr>
          <w:rFonts w:ascii="Times New Roman" w:hAnsi="Times New Roman" w:cs="Times New Roman"/>
          <w:sz w:val="24"/>
          <w:szCs w:val="24"/>
        </w:rPr>
        <w:t xml:space="preserve">   </w:t>
      </w:r>
      <w:r w:rsidRPr="00A360DD">
        <w:rPr>
          <w:rFonts w:ascii="Times New Roman" w:hAnsi="Times New Roman" w:cs="Times New Roman"/>
          <w:sz w:val="24"/>
          <w:szCs w:val="24"/>
        </w:rPr>
        <w:t>«</w:t>
      </w:r>
      <w:r w:rsidR="00A360DD" w:rsidRPr="00A360D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Лабораторная диагностика</w:t>
      </w:r>
      <w:r w:rsidR="005E757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»</w:t>
      </w:r>
    </w:p>
    <w:p w:rsidR="005E7572" w:rsidRDefault="005E7572" w:rsidP="00A360DD">
      <w:pPr>
        <w:spacing w:after="0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5E7572" w:rsidRPr="00A360DD" w:rsidRDefault="005E7572" w:rsidP="00A36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CB7" w:rsidRPr="00A360DD" w:rsidRDefault="005E7572" w:rsidP="0065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Современные методы биохимических исследований в лабораторной диагностике</w:t>
      </w:r>
    </w:p>
    <w:bookmarkEnd w:id="0"/>
    <w:p w:rsidR="00A360DD" w:rsidRDefault="00A360DD" w:rsidP="00657D6D">
      <w:pPr>
        <w:pStyle w:val="Style3"/>
        <w:widowControl/>
        <w:tabs>
          <w:tab w:val="left" w:pos="2340"/>
        </w:tabs>
        <w:spacing w:line="24" w:lineRule="auto"/>
        <w:jc w:val="center"/>
        <w:rPr>
          <w:u w:val="single"/>
        </w:rPr>
      </w:pPr>
    </w:p>
    <w:p w:rsidR="00A360DD" w:rsidRDefault="00A360DD" w:rsidP="00657D6D">
      <w:pPr>
        <w:pStyle w:val="Style3"/>
        <w:widowControl/>
        <w:tabs>
          <w:tab w:val="left" w:pos="2340"/>
        </w:tabs>
        <w:spacing w:line="24" w:lineRule="auto"/>
        <w:jc w:val="center"/>
        <w:rPr>
          <w:u w:val="single"/>
        </w:rPr>
      </w:pPr>
    </w:p>
    <w:p w:rsidR="00A360DD" w:rsidRDefault="00A360DD" w:rsidP="00657D6D">
      <w:pPr>
        <w:pStyle w:val="Style3"/>
        <w:widowControl/>
        <w:tabs>
          <w:tab w:val="left" w:pos="2340"/>
        </w:tabs>
        <w:spacing w:line="24" w:lineRule="auto"/>
        <w:jc w:val="center"/>
        <w:rPr>
          <w:u w:val="single"/>
        </w:rPr>
      </w:pPr>
    </w:p>
    <w:p w:rsidR="00717CB7" w:rsidRPr="00CF3B77" w:rsidRDefault="00717CB7" w:rsidP="00657D6D">
      <w:pPr>
        <w:pStyle w:val="Style3"/>
        <w:widowControl/>
        <w:tabs>
          <w:tab w:val="left" w:pos="2340"/>
        </w:tabs>
        <w:spacing w:line="24" w:lineRule="auto"/>
        <w:jc w:val="center"/>
        <w:rPr>
          <w:sz w:val="36"/>
          <w:szCs w:val="36"/>
        </w:rPr>
      </w:pPr>
      <w:r>
        <w:rPr>
          <w:u w:val="single"/>
        </w:rPr>
        <w:t>_________________________________________________________________________</w:t>
      </w:r>
    </w:p>
    <w:p w:rsidR="00717CB7" w:rsidRPr="004A5C99" w:rsidRDefault="00717CB7" w:rsidP="00657D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A5C99">
        <w:rPr>
          <w:rFonts w:ascii="Times New Roman" w:hAnsi="Times New Roman" w:cs="Times New Roman"/>
          <w:sz w:val="16"/>
          <w:szCs w:val="16"/>
        </w:rPr>
        <w:t>наименование программы</w:t>
      </w:r>
    </w:p>
    <w:p w:rsidR="00503742" w:rsidRDefault="00503742" w:rsidP="00657D6D">
      <w:pPr>
        <w:spacing w:after="0"/>
        <w:jc w:val="center"/>
        <w:rPr>
          <w:rFonts w:ascii="Times New Roman" w:hAnsi="Times New Roman" w:cs="Times New Roman"/>
          <w:b/>
        </w:rPr>
      </w:pPr>
    </w:p>
    <w:p w:rsidR="00657D6D" w:rsidRDefault="00657D6D" w:rsidP="00657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D6D" w:rsidRDefault="00657D6D" w:rsidP="00657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6D" w:rsidRDefault="00657D6D" w:rsidP="00657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6D" w:rsidRDefault="00657D6D" w:rsidP="00657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6D" w:rsidRDefault="00657D6D" w:rsidP="00657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528" w:rsidRDefault="005F1528" w:rsidP="00657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528" w:rsidRDefault="005F1528" w:rsidP="00657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528" w:rsidRDefault="005F1528" w:rsidP="00657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528" w:rsidRDefault="005F1528" w:rsidP="00657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528" w:rsidRDefault="005F1528" w:rsidP="00657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B57" w:rsidRDefault="00AB3B57" w:rsidP="0065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65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528">
        <w:rPr>
          <w:rFonts w:ascii="Times New Roman" w:hAnsi="Times New Roman" w:cs="Times New Roman"/>
          <w:sz w:val="24"/>
          <w:szCs w:val="24"/>
        </w:rPr>
        <w:t>Москва 2020г.</w:t>
      </w:r>
    </w:p>
    <w:p w:rsidR="00260FB4" w:rsidRPr="003100BC" w:rsidRDefault="00377BA6" w:rsidP="003100BC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Pr="003100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1928" w:rsidRPr="00341928" w:rsidRDefault="00341928" w:rsidP="0034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Дополнительная профессиональная образовательная программа «Современные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 биохимических исследований в лабораторной диагностике» предназначена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 квалификации специалистов со средним медицинским образованием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специальности «Лабораторная диагностика».</w:t>
      </w:r>
    </w:p>
    <w:p w:rsidR="00341928" w:rsidRPr="00341928" w:rsidRDefault="00341928" w:rsidP="0034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 предусматривает обучение медицинских работников, осуществляющих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профессиональную деятельность в медицинских орг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анизациях в качестве фельдшеров-</w:t>
      </w:r>
      <w:r w:rsidRPr="003419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лаборантов (лаборантов) по биохимическим исследованиям.</w:t>
      </w:r>
    </w:p>
    <w:p w:rsidR="005D15EE" w:rsidRPr="005D15EE" w:rsidRDefault="00341928" w:rsidP="004502CC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25" w:rsidRPr="00657D6D" w:rsidRDefault="003100BC" w:rsidP="003100BC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77BA6" w:rsidRPr="00657D6D"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обучения. </w:t>
      </w:r>
    </w:p>
    <w:p w:rsidR="00992325" w:rsidRPr="00B842D2" w:rsidRDefault="00260FB4" w:rsidP="00B84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7BA6" w:rsidRPr="00B84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325" w:rsidRPr="00B842D2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 приобрести знания,</w:t>
      </w:r>
      <w:r w:rsidRPr="00B842D2">
        <w:rPr>
          <w:rFonts w:ascii="Times New Roman" w:hAnsi="Times New Roman" w:cs="Times New Roman"/>
          <w:sz w:val="24"/>
          <w:szCs w:val="24"/>
        </w:rPr>
        <w:t xml:space="preserve"> умения и навыки </w:t>
      </w:r>
      <w:r w:rsidR="00992325" w:rsidRPr="00B842D2">
        <w:rPr>
          <w:rFonts w:ascii="Times New Roman" w:hAnsi="Times New Roman" w:cs="Times New Roman"/>
          <w:sz w:val="24"/>
          <w:szCs w:val="24"/>
        </w:rPr>
        <w:t xml:space="preserve"> необходимые для качестве</w:t>
      </w:r>
      <w:r w:rsidRPr="00B842D2">
        <w:rPr>
          <w:rFonts w:ascii="Times New Roman" w:hAnsi="Times New Roman" w:cs="Times New Roman"/>
          <w:sz w:val="24"/>
          <w:szCs w:val="24"/>
        </w:rPr>
        <w:t>нного изменения профессиональной деятельности.</w:t>
      </w:r>
    </w:p>
    <w:p w:rsidR="00992325" w:rsidRPr="00B842D2" w:rsidRDefault="00992325" w:rsidP="00B84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2D2">
        <w:rPr>
          <w:rFonts w:ascii="Times New Roman" w:hAnsi="Times New Roman" w:cs="Times New Roman"/>
          <w:sz w:val="24"/>
          <w:szCs w:val="24"/>
        </w:rPr>
        <w:t>Слушатель должен</w:t>
      </w:r>
      <w:r w:rsidRPr="00B842D2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="00260FB4" w:rsidRPr="00B842D2">
        <w:rPr>
          <w:rFonts w:ascii="Times New Roman" w:hAnsi="Times New Roman" w:cs="Times New Roman"/>
          <w:b/>
          <w:sz w:val="24"/>
          <w:szCs w:val="24"/>
        </w:rPr>
        <w:t>:</w:t>
      </w:r>
    </w:p>
    <w:p w:rsidR="00341928" w:rsidRPr="00341928" w:rsidRDefault="00846058" w:rsidP="007E6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hAnsi="Times New Roman" w:cs="Times New Roman"/>
          <w:sz w:val="24"/>
          <w:szCs w:val="24"/>
        </w:rPr>
        <w:t xml:space="preserve"> </w:t>
      </w:r>
      <w:r w:rsidR="00341928"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законов и иных нормативных правовых актов Российской Федерации в сфере здравоохранения;</w:t>
      </w:r>
    </w:p>
    <w:p w:rsidR="00341928" w:rsidRPr="00341928" w:rsidRDefault="00341928" w:rsidP="007E6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 лечебно-диагностического процесса, профилактики заболеваний, пропаганды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организации лабораторной службы в стране;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задач, структуры, оборудования, правил работы </w:t>
      </w:r>
      <w:proofErr w:type="gram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клинико-диагностической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лаборатории;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структуры и функций органов кроветворения, нервных тканей, пищеварительной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 мочевыделительной, половой и других систем;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строения и функций клетки;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влияния биологических факторов (возраст, пол, дневные ритмы, месячные циклы,</w:t>
      </w:r>
      <w:proofErr w:type="gramEnd"/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вариации и др.) на результаты исследований;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влияния физической нагрузки, пищи, алкоголя, лекарственных препаратов, медицинских процедур и др. на результаты исследований;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понятия о гомеостазе, биохимических методов поддержания гомеостаза;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нормальной физиологии обмена белков, углеводов, липидов, ферментов, гормонов,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водно-минерального, кислотно-основного состояний;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причин и видов патологии обменных процессов </w:t>
      </w:r>
      <w:proofErr w:type="gram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часто встречающихся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заболеваниях</w:t>
      </w:r>
      <w:proofErr w:type="gramEnd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правил подготовки пациента для различных лабораторных исследований;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правил сбора, транспортировки и хранения биоматериала;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основных методов исследования обмена веществ, белков, липидов, углеводов, гормонов, ферментов, системы гемостаза и др.;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причин и условий возникновения </w:t>
      </w:r>
      <w:proofErr w:type="spell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преаналитических</w:t>
      </w:r>
      <w:proofErr w:type="spellEnd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аналитических погрешностей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лабораторного анализа;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 общей гигиены и производственной санитарии;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 техники безопасности при работе в клинико-диагностических лабораториях;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инструктивных материалов по соблюдению правил </w:t>
      </w:r>
      <w:proofErr w:type="gram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санитарно-противоэпидемического</w:t>
      </w:r>
      <w:proofErr w:type="gramEnd"/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в клинико-диагностических лабораториях;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основных требований к организации делопроизводства в клинико-диагностических лабораториях;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методов лечения и профилактики заболеваний и травм;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правил эксплуатации медицинского инструментария и оборудования;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правил сбора, хранения и удаления отходов лечебно-профилактических организаций;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 функционирования страховой медицины и добровольного медицинского страхования;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основ </w:t>
      </w:r>
      <w:proofErr w:type="spell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санологии</w:t>
      </w:r>
      <w:proofErr w:type="spellEnd"/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основ медицины катастроф;</w:t>
      </w:r>
    </w:p>
    <w:p w:rsidR="00341928" w:rsidRPr="00341928" w:rsidRDefault="00341928" w:rsidP="0034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медицинской этики и деонтологии, психологии профессионального общения.</w:t>
      </w:r>
    </w:p>
    <w:p w:rsidR="00341928" w:rsidRDefault="00341928" w:rsidP="00B84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FB4" w:rsidRPr="00B842D2" w:rsidRDefault="00260FB4" w:rsidP="00B84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2D2">
        <w:rPr>
          <w:rFonts w:ascii="Times New Roman" w:hAnsi="Times New Roman" w:cs="Times New Roman"/>
          <w:sz w:val="24"/>
          <w:szCs w:val="24"/>
        </w:rPr>
        <w:t>Слушатель должен</w:t>
      </w:r>
      <w:r w:rsidRPr="00B842D2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7E63F7" w:rsidRPr="007E63F7" w:rsidRDefault="00846058" w:rsidP="007E63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hAnsi="Times New Roman" w:cs="Times New Roman"/>
          <w:sz w:val="24"/>
          <w:szCs w:val="24"/>
        </w:rPr>
        <w:t xml:space="preserve"> </w:t>
      </w:r>
      <w:r w:rsidR="007E63F7"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рационально организовать рабочее место для проведения </w:t>
      </w:r>
      <w:proofErr w:type="gramStart"/>
      <w:r w:rsidR="007E63F7"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биохимических</w:t>
      </w:r>
      <w:proofErr w:type="gramEnd"/>
      <w:r w:rsidR="007E63F7"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лабораторных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взять биологический материал для лабораторного исследования;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подготовить лабораторную посуду, инструментарий и оборудование для проведения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лабораторного анализа;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обрабатывать биохимическую посуду, инструментарий;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провести стерилизацию лабораторной посуды, инструментария;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провести дезинфекцию биоматериала;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провести прием, маркировку и регистрацию поступившего в лабораторию биоматериала, обеспечить хранение;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регистрировать проведенные исследования;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вести учетно-отчетную документацию;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пользоваться лабораторной аппаратурой при выполнении лабораторных исследований и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подготовительных мероприятий;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проводить </w:t>
      </w:r>
      <w:proofErr w:type="spellStart"/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внутрилабораторный</w:t>
      </w:r>
      <w:proofErr w:type="spellEnd"/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качества;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на основании результатов давать качественную и количественную оценку объекта исследований;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строить калибровочные графики;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дифференцировать нормальные и патологические показатели результатов лабораторных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 результатам анализа выявлять признаки типовых патологических процессов в органах и тканях;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адекватно оценивать ситуацию и оказывать доврачебную помощь при </w:t>
      </w:r>
      <w:proofErr w:type="gramStart"/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</w:t>
      </w:r>
      <w:proofErr w:type="gramEnd"/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неотложных состояниях;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проводить мероприятия по санитарно-гигиеническому воспитанию и образованию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обслуживаемого населения, консультировать по вопросам формирования здорового</w:t>
      </w:r>
    </w:p>
    <w:p w:rsidR="007E63F7" w:rsidRPr="007E63F7" w:rsidRDefault="007E63F7" w:rsidP="007E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жизни.</w:t>
      </w:r>
    </w:p>
    <w:p w:rsidR="00297566" w:rsidRPr="00297566" w:rsidRDefault="00297566" w:rsidP="00B842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BA6" w:rsidRPr="00B842D2" w:rsidRDefault="006F1C25" w:rsidP="00B842D2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2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7BA6" w:rsidRPr="00B84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BC" w:rsidRPr="00B842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7BA6" w:rsidRPr="00B842D2">
        <w:rPr>
          <w:rFonts w:ascii="Times New Roman" w:hAnsi="Times New Roman" w:cs="Times New Roman"/>
          <w:b/>
          <w:sz w:val="24"/>
          <w:szCs w:val="24"/>
        </w:rPr>
        <w:t xml:space="preserve">3. Содержание программы </w:t>
      </w:r>
    </w:p>
    <w:p w:rsidR="00297566" w:rsidRPr="00B842D2" w:rsidRDefault="00297566" w:rsidP="00B84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B842D2" w:rsidRDefault="00297566" w:rsidP="00B84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D2">
        <w:rPr>
          <w:rFonts w:ascii="Times New Roman" w:hAnsi="Times New Roman" w:cs="Times New Roman"/>
          <w:b/>
          <w:sz w:val="24"/>
          <w:szCs w:val="24"/>
        </w:rPr>
        <w:t>3.1.</w:t>
      </w:r>
      <w:r w:rsidR="00377BA6" w:rsidRPr="00B842D2">
        <w:rPr>
          <w:rFonts w:ascii="Times New Roman" w:hAnsi="Times New Roman" w:cs="Times New Roman"/>
          <w:b/>
          <w:sz w:val="24"/>
          <w:szCs w:val="24"/>
        </w:rPr>
        <w:t xml:space="preserve"> Учебный план</w:t>
      </w:r>
    </w:p>
    <w:p w:rsidR="00377BA6" w:rsidRPr="00B842D2" w:rsidRDefault="00377BA6" w:rsidP="00B84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2D2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ED4AEB" w:rsidRPr="00B842D2" w:rsidRDefault="006F1C25" w:rsidP="00B84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2D2">
        <w:rPr>
          <w:rFonts w:ascii="Times New Roman" w:hAnsi="Times New Roman" w:cs="Times New Roman"/>
          <w:sz w:val="24"/>
          <w:szCs w:val="24"/>
        </w:rPr>
        <w:t>«</w:t>
      </w:r>
      <w:r w:rsidR="004569B7">
        <w:rPr>
          <w:rFonts w:ascii="Times New Roman" w:hAnsi="Times New Roman" w:cs="Times New Roman"/>
          <w:sz w:val="24"/>
          <w:szCs w:val="24"/>
        </w:rPr>
        <w:t>Современные методы биохимических исследований в лабораторной диагностике</w:t>
      </w:r>
      <w:r w:rsidR="00ED4AEB" w:rsidRPr="00B842D2">
        <w:rPr>
          <w:rFonts w:ascii="Times New Roman" w:hAnsi="Times New Roman" w:cs="Times New Roman"/>
          <w:sz w:val="24"/>
          <w:szCs w:val="24"/>
        </w:rPr>
        <w:t>»</w:t>
      </w:r>
    </w:p>
    <w:p w:rsidR="006F1C25" w:rsidRPr="00B842D2" w:rsidRDefault="00F611B9" w:rsidP="00B842D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B842D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B842D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B842D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992325" w:rsidRPr="00B842D2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образованием.</w:t>
      </w:r>
    </w:p>
    <w:p w:rsidR="00377BA6" w:rsidRDefault="00377BA6" w:rsidP="00B842D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42D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B842D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  <w:r w:rsidRPr="00B842D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B842D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297566" w:rsidRPr="00297566" w:rsidRDefault="00297566" w:rsidP="00297566">
      <w:pPr>
        <w:spacing w:after="0"/>
        <w:ind w:right="-83" w:firstLine="28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657D6D" w:rsidTr="00602311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297566" w:rsidRDefault="00377BA6" w:rsidP="00657D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297566" w:rsidRDefault="00377BA6" w:rsidP="00657D6D">
            <w:pPr>
              <w:pStyle w:val="3"/>
              <w:tabs>
                <w:tab w:val="left" w:pos="0"/>
              </w:tabs>
              <w:snapToGrid w:val="0"/>
              <w:ind w:left="0" w:firstLine="0"/>
              <w:rPr>
                <w:b/>
                <w:sz w:val="18"/>
                <w:szCs w:val="18"/>
              </w:rPr>
            </w:pPr>
            <w:r w:rsidRPr="00297566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297566" w:rsidRDefault="00377BA6" w:rsidP="00657D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297566" w:rsidRDefault="00377BA6" w:rsidP="00657D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297566" w:rsidRDefault="00377BA6" w:rsidP="00657D6D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297566" w:rsidRDefault="00377BA6" w:rsidP="00657D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657D6D" w:rsidTr="00602311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657D6D" w:rsidRDefault="00377BA6" w:rsidP="00657D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657D6D" w:rsidRDefault="00377BA6" w:rsidP="00657D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657D6D" w:rsidRDefault="00377BA6" w:rsidP="00657D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297566" w:rsidRDefault="00377BA6" w:rsidP="00657D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297566" w:rsidRDefault="00377BA6" w:rsidP="00657D6D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566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657D6D" w:rsidRDefault="00377BA6" w:rsidP="00657D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A6" w:rsidRPr="00657D6D" w:rsidTr="00297566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AB3B57" w:rsidRDefault="00297566" w:rsidP="00297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6058" w:rsidRPr="00AB3B57" w:rsidRDefault="00846058" w:rsidP="0084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Организационно-правовые</w:t>
            </w:r>
          </w:p>
          <w:p w:rsidR="00377BA6" w:rsidRPr="00AB3B57" w:rsidRDefault="00846058" w:rsidP="0084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информационные основы профессиональной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AB3B57" w:rsidRDefault="00377BA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77BA6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7BA6" w:rsidRPr="00657D6D" w:rsidTr="00AB3B57">
        <w:trPr>
          <w:cantSplit/>
          <w:trHeight w:val="51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377BA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566" w:rsidRPr="00AB3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73B7" w:rsidRPr="00AB3B57" w:rsidRDefault="00E473B7" w:rsidP="00E4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AB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лабораторных</w:t>
            </w:r>
            <w:proofErr w:type="gramEnd"/>
          </w:p>
          <w:p w:rsidR="00377BA6" w:rsidRPr="00AB3B57" w:rsidRDefault="00E473B7" w:rsidP="00E4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биохимических исследований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377BA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AB3B57" w:rsidRDefault="00AB3B57" w:rsidP="00297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3B7" w:rsidRPr="00657D6D" w:rsidTr="00AB3B57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73B7" w:rsidRPr="00AB3B57" w:rsidRDefault="00E473B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73B7" w:rsidRPr="00AB3B57" w:rsidRDefault="00E473B7" w:rsidP="00E4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73B7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73B7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73B7" w:rsidRPr="00AB3B57" w:rsidRDefault="00AB3B5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3B7" w:rsidRPr="00AB3B57" w:rsidRDefault="00E473B7" w:rsidP="00297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A6" w:rsidRPr="00657D6D" w:rsidTr="00297566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E473B7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7566" w:rsidRPr="00AB3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377BA6" w:rsidP="002975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377BA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377BA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AB3B57" w:rsidRDefault="006F1C25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AB3B57" w:rsidRDefault="00377BA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57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297566" w:rsidRPr="00657D6D" w:rsidTr="00297566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566" w:rsidRPr="00657D6D" w:rsidRDefault="00297566" w:rsidP="0029756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6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566" w:rsidRPr="00657D6D" w:rsidRDefault="0029756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6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566" w:rsidRPr="00657D6D" w:rsidRDefault="00297566" w:rsidP="00AB3B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B3B5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566" w:rsidRPr="00657D6D" w:rsidRDefault="0029756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6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66" w:rsidRPr="00657D6D" w:rsidRDefault="00297566" w:rsidP="002975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BA6" w:rsidRPr="005D15EE" w:rsidRDefault="00377BA6" w:rsidP="00657D6D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D15EE">
        <w:rPr>
          <w:rFonts w:ascii="Times New Roman" w:hAnsi="Times New Roman" w:cs="Times New Roman"/>
          <w:sz w:val="16"/>
          <w:szCs w:val="16"/>
        </w:rPr>
        <w:lastRenderedPageBreak/>
        <w:t xml:space="preserve">      </w:t>
      </w:r>
      <w:r w:rsidRPr="005D15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</w:t>
      </w:r>
    </w:p>
    <w:p w:rsidR="00377BA6" w:rsidRPr="00657D6D" w:rsidRDefault="00377BA6" w:rsidP="00B842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6F1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657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лекций</w:t>
      </w:r>
    </w:p>
    <w:p w:rsidR="001661C6" w:rsidRPr="00657D6D" w:rsidRDefault="00377BA6" w:rsidP="00B842D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7D6D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65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657D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F1C25" w:rsidRPr="006F1C25" w:rsidRDefault="006F1C25" w:rsidP="00B84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69B7">
        <w:rPr>
          <w:rFonts w:ascii="Times New Roman" w:hAnsi="Times New Roman" w:cs="Times New Roman"/>
          <w:sz w:val="24"/>
          <w:szCs w:val="24"/>
        </w:rPr>
        <w:t>Современные методы биохимических исследований в лабораторной диагностике</w:t>
      </w:r>
      <w:r w:rsidRPr="006F1C25">
        <w:rPr>
          <w:rFonts w:ascii="Times New Roman" w:hAnsi="Times New Roman" w:cs="Times New Roman"/>
          <w:sz w:val="24"/>
          <w:szCs w:val="24"/>
        </w:rPr>
        <w:t>»</w:t>
      </w:r>
    </w:p>
    <w:p w:rsidR="00377BA6" w:rsidRPr="005D15EE" w:rsidRDefault="00377BA6" w:rsidP="00657D6D">
      <w:pPr>
        <w:pStyle w:val="a5"/>
        <w:spacing w:after="0"/>
        <w:rPr>
          <w:rFonts w:ascii="Times New Roman" w:hAnsi="Times New Roman" w:cs="Times New Roman"/>
          <w:sz w:val="16"/>
          <w:szCs w:val="16"/>
        </w:rPr>
      </w:pPr>
      <w:r w:rsidRPr="005D15E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2045"/>
        <w:gridCol w:w="2031"/>
      </w:tblGrid>
      <w:tr w:rsidR="00377BA6" w:rsidRPr="00657D6D" w:rsidTr="0095184E">
        <w:trPr>
          <w:trHeight w:val="254"/>
        </w:trPr>
        <w:tc>
          <w:tcPr>
            <w:tcW w:w="675" w:type="dxa"/>
            <w:vMerge w:val="restart"/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276" w:type="dxa"/>
            <w:vMerge w:val="restart"/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377BA6" w:rsidRPr="00657D6D" w:rsidTr="0095184E">
        <w:trPr>
          <w:trHeight w:val="7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A6" w:rsidRPr="006F1C25" w:rsidRDefault="00377BA6" w:rsidP="00657D6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1C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377BA6" w:rsidRPr="00657D6D" w:rsidTr="0095184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377BA6" w:rsidRPr="00657D6D" w:rsidRDefault="00377BA6" w:rsidP="0065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D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7BA6" w:rsidRPr="00657D6D" w:rsidRDefault="00377BA6" w:rsidP="0065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D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7BA6" w:rsidRPr="00657D6D" w:rsidRDefault="00377BA6" w:rsidP="0065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D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377BA6" w:rsidRPr="00657D6D" w:rsidRDefault="00377BA6" w:rsidP="0065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D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377BA6" w:rsidRPr="00657D6D" w:rsidRDefault="00377BA6" w:rsidP="0065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D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61C6" w:rsidRPr="006F1C25" w:rsidTr="006F1C25">
        <w:tc>
          <w:tcPr>
            <w:tcW w:w="675" w:type="dxa"/>
            <w:vAlign w:val="center"/>
          </w:tcPr>
          <w:p w:rsidR="001661C6" w:rsidRPr="009541ED" w:rsidRDefault="001661C6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vAlign w:val="center"/>
          </w:tcPr>
          <w:p w:rsidR="00E473B7" w:rsidRPr="009541ED" w:rsidRDefault="00E473B7" w:rsidP="00E47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Организационно-правовые</w:t>
            </w:r>
          </w:p>
          <w:p w:rsidR="001661C6" w:rsidRPr="009541ED" w:rsidRDefault="00E473B7" w:rsidP="00E47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 информационные основы профессиональной деятельности</w:t>
            </w:r>
          </w:p>
        </w:tc>
        <w:tc>
          <w:tcPr>
            <w:tcW w:w="1276" w:type="dxa"/>
            <w:vAlign w:val="center"/>
          </w:tcPr>
          <w:p w:rsidR="001661C6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1661C6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1661C6" w:rsidRPr="009541ED" w:rsidRDefault="001661C6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F1C25" w:rsidTr="006F1C25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61C6" w:rsidRPr="009541ED" w:rsidRDefault="001661C6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473B7" w:rsidRPr="009541ED" w:rsidRDefault="00E473B7" w:rsidP="00E47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Организационно-правовые</w:t>
            </w:r>
          </w:p>
          <w:p w:rsidR="001661C6" w:rsidRPr="009541ED" w:rsidRDefault="00E473B7" w:rsidP="00E4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информационные основы профессиональной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61C6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9541ED" w:rsidRDefault="001661C6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F1C25" w:rsidTr="006F1C2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9541ED" w:rsidRDefault="001661C6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3B7" w:rsidRPr="009541ED" w:rsidRDefault="00E473B7" w:rsidP="00E47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954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лабораторных</w:t>
            </w:r>
            <w:proofErr w:type="gramEnd"/>
          </w:p>
          <w:p w:rsidR="001661C6" w:rsidRPr="009541ED" w:rsidRDefault="00E473B7" w:rsidP="00E47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биохимических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9541ED" w:rsidRDefault="001661C6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6F1C2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Физиология и патология обмена веществ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6F1C2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Иммунная система и воспалительный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6F1C2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 коагуляции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Токсикология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качества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технологии и автоматизированные</w:t>
            </w:r>
          </w:p>
          <w:p w:rsidR="00AB3B57" w:rsidRPr="009541ED" w:rsidRDefault="00AB3B57" w:rsidP="000B3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в лабораторной службе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Инфекционная безопасность и инфекционный контроль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0B3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ВИЧ-инфекция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890E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3B57" w:rsidRPr="006F1C25" w:rsidTr="00AB3B57">
        <w:trPr>
          <w:trHeight w:val="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B57" w:rsidRPr="009541ED" w:rsidRDefault="00AB3B57" w:rsidP="00890E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 критических состояний при ЧС и в клинике</w:t>
            </w:r>
          </w:p>
          <w:p w:rsidR="00AB3B57" w:rsidRPr="009541ED" w:rsidRDefault="00AB3B57" w:rsidP="00890E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7" w:rsidRPr="009541ED" w:rsidRDefault="00AB3B57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57" w:rsidRPr="009541ED" w:rsidRDefault="00AB3B57" w:rsidP="00AB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91A93" w:rsidRPr="006F1C25" w:rsidTr="006F1C25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93" w:rsidRPr="009541ED" w:rsidRDefault="00890EC3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F1C25"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91A93" w:rsidRPr="009541ED" w:rsidRDefault="00391A93" w:rsidP="006F1C2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1E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A93" w:rsidRPr="009541ED" w:rsidRDefault="00391A93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A93" w:rsidRPr="009541ED" w:rsidRDefault="000F3749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93" w:rsidRPr="009541ED" w:rsidRDefault="000F3749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F1C25" w:rsidRPr="006F1C25" w:rsidTr="006F1C25"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6F1C25" w:rsidRPr="009541ED" w:rsidRDefault="006F1C25" w:rsidP="00657D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F1C25" w:rsidRPr="009541ED" w:rsidRDefault="006F1C25" w:rsidP="006F1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6F1C25" w:rsidRPr="009541ED" w:rsidRDefault="006F1C25" w:rsidP="00AB3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B3B57" w:rsidRPr="00954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6F1C25" w:rsidRPr="009541ED" w:rsidRDefault="000F3749" w:rsidP="006F1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E7415" w:rsidRDefault="007E7415" w:rsidP="007E7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15" w:rsidRPr="00177794" w:rsidRDefault="00CC5A51" w:rsidP="007E7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7E7415" w:rsidRPr="0017779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 и структура</w:t>
      </w:r>
      <w:r w:rsidR="007E7415" w:rsidRPr="0017779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E7415" w:rsidRPr="00177794" w:rsidRDefault="007E7415" w:rsidP="007E7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15" w:rsidRPr="00177794" w:rsidRDefault="007E7415" w:rsidP="0089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E22C1" w:rsidRPr="00177794">
        <w:rPr>
          <w:rFonts w:ascii="Times New Roman" w:hAnsi="Times New Roman" w:cs="Times New Roman"/>
          <w:b/>
          <w:sz w:val="24"/>
          <w:szCs w:val="24"/>
        </w:rPr>
        <w:t>№</w:t>
      </w:r>
      <w:r w:rsidRPr="00177794">
        <w:rPr>
          <w:rFonts w:ascii="Times New Roman" w:hAnsi="Times New Roman" w:cs="Times New Roman"/>
          <w:b/>
          <w:sz w:val="24"/>
          <w:szCs w:val="24"/>
        </w:rPr>
        <w:t>1</w:t>
      </w:r>
      <w:r w:rsidR="001E22C1" w:rsidRPr="00177794">
        <w:rPr>
          <w:rFonts w:ascii="Times New Roman" w:hAnsi="Times New Roman" w:cs="Times New Roman"/>
          <w:b/>
          <w:sz w:val="24"/>
          <w:szCs w:val="24"/>
        </w:rPr>
        <w:t>: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058"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90EC3"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Организационно-правовые и информационные основы профессиональной деятельности</w:t>
      </w:r>
    </w:p>
    <w:p w:rsidR="00FE5115" w:rsidRPr="00177794" w:rsidRDefault="00FE5115" w:rsidP="00FE511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и политика здравоохранения в Российской Федерации. Психологические аспекты деятельности специалистов со средним медицинским образованием. </w:t>
      </w:r>
      <w:r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Этико-правовые вопросы в работе лаборанта.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профессиональной деятельности.</w:t>
      </w:r>
    </w:p>
    <w:p w:rsidR="0099002C" w:rsidRPr="00177794" w:rsidRDefault="0099002C" w:rsidP="008460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2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0EC3"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Физиология и патология обмена веществ</w:t>
      </w:r>
      <w:r w:rsidR="00846058"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69DD" w:rsidRPr="00177794" w:rsidRDefault="00846058" w:rsidP="00F825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5115"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Обмен углеводов. Обмен белков и азотистых оснований. Обмен липидов. Электролитный состав организма, минеральный обмен. Кислотно-щелочное равновесие. Обмен желчных пигментов. Ферменты. Гормоны. </w:t>
      </w:r>
    </w:p>
    <w:p w:rsidR="00DA5C39" w:rsidRPr="00177794" w:rsidRDefault="00DA5C39" w:rsidP="00F825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7415" w:rsidRPr="00177794" w:rsidRDefault="001E22C1" w:rsidP="00DA5C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3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6058" w:rsidRPr="0017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EC3"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Иммунная система и воспалительный процесс</w:t>
      </w:r>
    </w:p>
    <w:p w:rsidR="00FE5115" w:rsidRPr="00177794" w:rsidRDefault="00846058" w:rsidP="00DA5C3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FE5115"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иммунной системы. Оценка воспалительного процесса. </w:t>
      </w:r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gram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реактивного белка,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антистрептолизина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антигиалуронидазы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54C8"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</w:t>
      </w:r>
      <w:proofErr w:type="spellStart"/>
      <w:r w:rsidR="00AA54C8"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сиаловых</w:t>
      </w:r>
      <w:proofErr w:type="spellEnd"/>
      <w:r w:rsidR="00AA54C8"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кислот, </w:t>
      </w:r>
      <w:r w:rsidR="00FE5115" w:rsidRPr="00177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иммуноглобулинов.</w:t>
      </w:r>
    </w:p>
    <w:p w:rsidR="00DA5C39" w:rsidRPr="00177794" w:rsidRDefault="00DA5C39" w:rsidP="00DA5C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9DD" w:rsidRPr="00177794" w:rsidRDefault="008C69DD" w:rsidP="00846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4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6058"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90EC3"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Система коагуляции</w:t>
      </w:r>
    </w:p>
    <w:p w:rsidR="00FE5115" w:rsidRPr="00177794" w:rsidRDefault="00846058" w:rsidP="00FE511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коагуляции. Современные представления о механизме свертывания крови. Регуляция свертывания крови. Сосудисто-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тромбоцитарный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коагуляционный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гемостаз. Фазы свертывания крови.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Противосвертывающие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(антикоагулянты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фибринолиз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Методы исследования гемостаза.  Клиническая оценка. Определение протромбина,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гепаринового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времени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ракальцификации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плазмы,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тромбинового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различными методами. Клинико-диагностическое значение. Определение </w:t>
      </w:r>
      <w:proofErr w:type="spellStart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фибринолитической</w:t>
      </w:r>
      <w:proofErr w:type="spellEnd"/>
      <w:r w:rsidR="00FE5115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и фибриногена. Клинико-диагностическое значение определения фибриногена.</w:t>
      </w:r>
    </w:p>
    <w:p w:rsidR="00CC5A51" w:rsidRPr="00177794" w:rsidRDefault="001E22C1" w:rsidP="00846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5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6058" w:rsidRPr="0017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EC3"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Токсикология</w:t>
      </w:r>
    </w:p>
    <w:p w:rsidR="00DE216D" w:rsidRPr="00177794" w:rsidRDefault="00846058" w:rsidP="00DE21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безопасности. Профессиональные вредности. Инструктаж по технике безопасности. Средства личной защиты. Медицинские осмотры. Принципы работы с кислотами, щелочами. Аптечка по оказанию первой помощи. Цели и задачи химико-токсикологического исследования. Организация химико - токсикологической лабораторной службы. Методы, применяемые в химико-токсикологическом анализе (иммунные, спектральные, </w:t>
      </w:r>
      <w:proofErr w:type="spellStart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хроматографические</w:t>
      </w:r>
      <w:proofErr w:type="spellEnd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Общие сведения о ядохимикатах и их действии на организм. Принципы работы с концентрированными кислотами и щелочами, органическими растворителями, хромогенами. Методы предосторожности при работе с инфицированным материалом (сифилис, гепатит, СПИД). Принципы дезинфекции аналитических приборов, утилизация оставшегося биологического материала. </w:t>
      </w:r>
      <w:proofErr w:type="spellStart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Пробоподготовка</w:t>
      </w:r>
      <w:proofErr w:type="spellEnd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удаление фоновых веществ и концентрирование анализируемых (</w:t>
      </w:r>
      <w:proofErr w:type="spellStart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парафазный</w:t>
      </w:r>
      <w:proofErr w:type="spellEnd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жидкостная </w:t>
      </w:r>
      <w:proofErr w:type="spellStart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экстрация</w:t>
      </w:r>
      <w:proofErr w:type="spellEnd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твердофазная экстракция). Определение ртути, свинца и мышьяка в моче. Определение </w:t>
      </w:r>
      <w:proofErr w:type="spellStart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фосфоорганических</w:t>
      </w:r>
      <w:proofErr w:type="spellEnd"/>
      <w:r w:rsidR="00DE216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в крови и в моче.</w:t>
      </w:r>
    </w:p>
    <w:p w:rsidR="003D315D" w:rsidRPr="00177794" w:rsidRDefault="00890EC3" w:rsidP="003D31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6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качества</w:t>
      </w:r>
      <w:r w:rsidR="003D315D"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A5C39" w:rsidRPr="00177794" w:rsidRDefault="00DA5C39" w:rsidP="003D31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контроле качества лабораторных исследований. Цели и задачи контроля качества. Этапы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внутрилабораторного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качества исследований. Терминология и основные понятия квалиметрии. Методы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внутрилабораторного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качества. Контрольные материалы. Виды контрольных материалов. Порядок проведения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внутрилабораторного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качества. 1 этап. Контроль качества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преаналитической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стадии.</w:t>
      </w:r>
      <w:r w:rsidR="003D315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этап. Контроль качества аналитической стадии.</w:t>
      </w:r>
      <w:r w:rsidR="003D315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этап. Оценка результатов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внутрилабораторного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качества (контрольные карты, оценочные правила).</w:t>
      </w:r>
      <w:r w:rsidR="003D315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посуды.</w:t>
      </w:r>
      <w:r w:rsidR="003D315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качества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реактивов</w:t>
      </w:r>
      <w:proofErr w:type="gram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качества, не требующие контрольных материалов (метод параллельных проб, метод средней нормальных величин, исследование случайной пробы, исследование повторных проб, исследование смешанной пробы).</w:t>
      </w:r>
      <w:r w:rsidR="003D315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работы приборов и оборудования.</w:t>
      </w:r>
      <w:r w:rsidR="003D315D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контроля качества в КДЛ.</w:t>
      </w:r>
    </w:p>
    <w:p w:rsidR="00DA5C39" w:rsidRPr="00177794" w:rsidRDefault="00DA5C39" w:rsidP="00F82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EC3" w:rsidRPr="00177794" w:rsidRDefault="00890EC3" w:rsidP="007254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7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технологии и автоматизированные системы в лабораторной службе</w:t>
      </w:r>
    </w:p>
    <w:p w:rsidR="001161AA" w:rsidRPr="00177794" w:rsidRDefault="001161AA" w:rsidP="007254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принципы автоматизации клинико</w:t>
      </w:r>
      <w:r w:rsidR="009C6C51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6C51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биохимических иссле</w:t>
      </w:r>
      <w:r w:rsidR="009C6C51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дований с использованием методологии жидкой химии. Основные принципы функционирования и типы </w:t>
      </w:r>
      <w:r w:rsidR="00F112C8"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технологических устройств, используемых для автоматизации биохимического исследования. </w:t>
      </w:r>
    </w:p>
    <w:p w:rsidR="007254E1" w:rsidRPr="00177794" w:rsidRDefault="007254E1" w:rsidP="00F82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EC3" w:rsidRPr="00177794" w:rsidRDefault="00890EC3" w:rsidP="00F825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8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Инфекционная безопасность и инфекционный контроль</w:t>
      </w:r>
    </w:p>
    <w:p w:rsidR="00695564" w:rsidRPr="00177794" w:rsidRDefault="00695564" w:rsidP="0069556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Гемоконтактные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гепатиты. Механизмы, пути передачи. Факторы передачи, группы риска. Лабораторная диагностика. Профилактика профессионального заражения (специфическая и неспецифическая). Схема вакцинации. Периодический медицинский осмотр медицинских работников на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гемоконтактные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гепатиты. Грипп. Возбудитель. Пути передачи. Клинические признаки. Осложнения. Группы риска. Профилактика. Вакцинация. Санитарно-гигиенический и противоэпидемический режим в лаборатории.</w:t>
      </w:r>
    </w:p>
    <w:p w:rsidR="00890EC3" w:rsidRPr="00177794" w:rsidRDefault="00890EC3" w:rsidP="00F825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9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77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ВИЧ-инфекция</w:t>
      </w:r>
    </w:p>
    <w:p w:rsidR="00695564" w:rsidRPr="00177794" w:rsidRDefault="00B54C89" w:rsidP="00F82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794">
        <w:rPr>
          <w:rFonts w:ascii="Times New Roman" w:hAnsi="Times New Roman" w:cs="Times New Roman"/>
          <w:sz w:val="24"/>
          <w:szCs w:val="24"/>
        </w:rPr>
        <w:t xml:space="preserve">Методы лабораторной диагностики ВИЧ-инфекции.  </w:t>
      </w:r>
      <w:r w:rsidR="002A748F" w:rsidRPr="00177794">
        <w:rPr>
          <w:rFonts w:ascii="Times New Roman" w:hAnsi="Times New Roman" w:cs="Times New Roman"/>
          <w:sz w:val="24"/>
          <w:szCs w:val="24"/>
        </w:rPr>
        <w:t xml:space="preserve">Показания к назначению. Проведение анализа на ВИЧ. Расшифровка результатов исследования. </w:t>
      </w:r>
    </w:p>
    <w:p w:rsidR="00B54C89" w:rsidRPr="00177794" w:rsidRDefault="00B54C89" w:rsidP="00890E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C3" w:rsidRPr="00177794" w:rsidRDefault="00890EC3" w:rsidP="0089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94">
        <w:rPr>
          <w:rFonts w:ascii="Times New Roman" w:hAnsi="Times New Roman" w:cs="Times New Roman"/>
          <w:b/>
          <w:sz w:val="24"/>
          <w:szCs w:val="24"/>
        </w:rPr>
        <w:t>Тема №1</w:t>
      </w:r>
      <w:r w:rsidR="007254E1" w:rsidRPr="00177794">
        <w:rPr>
          <w:rFonts w:ascii="Times New Roman" w:hAnsi="Times New Roman" w:cs="Times New Roman"/>
          <w:b/>
          <w:sz w:val="24"/>
          <w:szCs w:val="24"/>
        </w:rPr>
        <w:t>0</w:t>
      </w:r>
      <w:r w:rsidRPr="001777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77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Медицина критических состояний при ЧС и в клинике внутренних болезней</w:t>
      </w:r>
    </w:p>
    <w:p w:rsidR="00DE216D" w:rsidRPr="00177794" w:rsidRDefault="00DE216D" w:rsidP="00DE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при экстремальных воздействиях (наружные кровотечения, ЧМТ, переломы позвоночника, ребер, конечностей, геморрагический и травматический шоки, утопление, удушение, </w:t>
      </w:r>
      <w:proofErr w:type="spellStart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электротравма</w:t>
      </w:r>
      <w:proofErr w:type="spellEnd"/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тепловой и солнечный удары,</w:t>
      </w:r>
      <w:proofErr w:type="gramEnd"/>
    </w:p>
    <w:p w:rsidR="00DE216D" w:rsidRPr="00177794" w:rsidRDefault="00DE216D" w:rsidP="00DE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ожоги, отморожения, общее охлаждение, отравление хлором и аммиаком, укусы животными).</w:t>
      </w:r>
    </w:p>
    <w:p w:rsidR="00890EC3" w:rsidRPr="00F8250B" w:rsidRDefault="00890EC3" w:rsidP="00F825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F8250B" w:rsidRDefault="003100BC" w:rsidP="00F825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50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1C25" w:rsidRPr="00F82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>4</w:t>
      </w:r>
      <w:r w:rsidR="00377BA6" w:rsidRPr="00F8250B">
        <w:rPr>
          <w:rFonts w:ascii="Times New Roman" w:hAnsi="Times New Roman" w:cs="Times New Roman"/>
          <w:sz w:val="24"/>
          <w:szCs w:val="24"/>
        </w:rPr>
        <w:t xml:space="preserve">. </w:t>
      </w:r>
      <w:r w:rsidR="006F1C25" w:rsidRPr="00F8250B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</w:p>
    <w:p w:rsidR="00F8250B" w:rsidRPr="00FD7FA0" w:rsidRDefault="00F8250B" w:rsidP="00F8250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7BA6" w:rsidRPr="00F8250B" w:rsidRDefault="00377BA6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Обучение проводится с применением системы дистанционного обучения,  которая предоставляет неограниченный досту</w:t>
      </w:r>
      <w:r w:rsidR="006F1C25" w:rsidRPr="00F8250B">
        <w:rPr>
          <w:rFonts w:ascii="Times New Roman" w:hAnsi="Times New Roman" w:cs="Times New Roman"/>
          <w:sz w:val="24"/>
          <w:szCs w:val="24"/>
        </w:rPr>
        <w:t>п к электронной информационно–</w:t>
      </w:r>
      <w:r w:rsidRPr="00F8250B">
        <w:rPr>
          <w:rFonts w:ascii="Times New Roman" w:hAnsi="Times New Roman" w:cs="Times New Roman"/>
          <w:sz w:val="24"/>
          <w:szCs w:val="24"/>
        </w:rPr>
        <w:t xml:space="preserve">образовательной среде, электронной библиотеке образовательного учреждения из любой точки, в которой </w:t>
      </w:r>
      <w:r w:rsidR="006F1C25" w:rsidRPr="00F8250B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F8250B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F8250B" w:rsidRDefault="006F1C25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F8250B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F8250B" w:rsidRDefault="006F1C25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- доступ к учебным программам</w:t>
      </w:r>
      <w:r w:rsidR="00377BA6" w:rsidRPr="00F8250B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F8250B" w:rsidRDefault="00377BA6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F8250B" w:rsidRDefault="00377BA6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F8250B" w:rsidRDefault="00377BA6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F8250B" w:rsidRDefault="00377BA6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F8250B" w:rsidRDefault="00377BA6" w:rsidP="00F8250B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AB3B57" w:rsidRDefault="00AB3B57" w:rsidP="00F8250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4B59" w:rsidRPr="00F8250B" w:rsidRDefault="003100BC" w:rsidP="00F8250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50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B725B" w:rsidRPr="00F8250B">
        <w:rPr>
          <w:rFonts w:ascii="Times New Roman" w:hAnsi="Times New Roman" w:cs="Times New Roman"/>
          <w:b/>
          <w:sz w:val="24"/>
          <w:szCs w:val="24"/>
        </w:rPr>
        <w:t>Учебное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 </w:t>
      </w:r>
      <w:r w:rsidR="000B360D" w:rsidRPr="00F82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Белова Н.Б., Белова И.Н., Григорьева Я.А. Инфекционная безопасность и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инфекционный</w:t>
      </w:r>
      <w:proofErr w:type="gramEnd"/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контроль: учеб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метод. пособие. – </w:t>
      </w:r>
      <w:r w:rsidR="0023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– 91 с.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Белова Н.Б., Губина Э.А., Григ</w:t>
      </w:r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орьева Я.А. ВИЧ-инфекция: учеб</w:t>
      </w:r>
      <w:proofErr w:type="gramStart"/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3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23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одуль. - Москва, 2015 – 25 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Чернецова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С.Н., Боровикова Е.В. Неотложная помощь при чрезвычайных ситуациях и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клинике внутренних болезней: учеб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пособие, Тюмень, 2016 – 75 с.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Яблочкин А.А. Организация медицинского обеспечения населения в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</w:t>
      </w:r>
      <w:proofErr w:type="gramEnd"/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ситуациях: учеб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пособие. Тюмень, 2012 – 14 с.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Яблочкина Т.Г. Лабораторная диагностика: учеб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пособие. Тюмень, 2012 – 45 с.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Медицинские анализы и исследования [Текст] : полный справ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показатели,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маркеры патологий, причины изменения значений, расшифровка результата: справ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 / авт.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Ишманов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ертакова</w:t>
      </w:r>
      <w:proofErr w:type="spellEnd"/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Соловьев [и др.]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Елисеева Ю.Ю. -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ЭКСМО, 2009 - 606, [1] с. - (Полные медицинские справочники для всей семьи). -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599-605. </w:t>
      </w:r>
      <w:r w:rsidR="005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Полотнянко</w:t>
      </w:r>
      <w:proofErr w:type="spellEnd"/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Л.И.  Контроль качества лабораторных исследований [Текст]: 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бие / Л.И. </w:t>
      </w:r>
      <w:proofErr w:type="spellStart"/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Полотнянко</w:t>
      </w:r>
      <w:proofErr w:type="spellEnd"/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ВЛАДОС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-ПРЕСС, 2008 - 188 с.: 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(Учебник для студентов медицинских училищ). -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с. 184 </w:t>
      </w:r>
      <w:r w:rsidR="005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Клиническая лабораторная диагностика [Текст]: национальное руководство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т. /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бществ по качеству, Науч. об-во спец.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медицины; гл. ред.: В.В. Долгов, В.В.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Меньшиков. - 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ГЭОТАР-Медиа, 2012 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(Национальные руководства). - ISBN 978-5-</w:t>
      </w:r>
    </w:p>
    <w:p w:rsidR="007254E1" w:rsidRPr="007A6755" w:rsidRDefault="007254E1" w:rsidP="0057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04-2127-7. Т. 1 - 2012 - 923 с.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ил. -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918-923. </w:t>
      </w:r>
      <w:r w:rsidR="005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Клиническая л</w:t>
      </w:r>
      <w:r w:rsidR="007A6755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абораторная диагностика [Текст]: национальное руководство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2 т. /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б-в по качеству, Науч. об-во спец.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медицины; гл. ред.: В.В. Долгов, В.В.</w:t>
      </w:r>
    </w:p>
    <w:p w:rsidR="007254E1" w:rsidRPr="007A6755" w:rsidRDefault="007A6755" w:rsidP="0057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Меньшиков. -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ГЭОТАР-Медиа, 2012 </w:t>
      </w:r>
      <w:r w:rsidR="007254E1"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54E1" w:rsidRPr="007A6755" w:rsidRDefault="007254E1" w:rsidP="007A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Пустовалова Л.М. Практика лабораторных биохимических исследований [Текст]: учебное пособие для студентов образовательных учреждений среднего профессионального образования / Л.М. Пустовалова. - 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2014 - 332, [1] с</w:t>
      </w:r>
      <w:r w:rsid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(Среднее профессиональное образование). - </w:t>
      </w:r>
      <w:proofErr w:type="spellStart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A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с. 325 </w:t>
      </w:r>
      <w:r w:rsidR="0057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250B" w:rsidRPr="00F8250B" w:rsidRDefault="00846058" w:rsidP="00F8250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BA6" w:rsidRPr="00F8250B" w:rsidRDefault="003100BC" w:rsidP="00F8250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5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>6. Оценка</w:t>
      </w:r>
      <w:r w:rsidR="000B360D" w:rsidRPr="00F82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F8250B">
        <w:rPr>
          <w:rFonts w:ascii="Times New Roman" w:hAnsi="Times New Roman" w:cs="Times New Roman"/>
          <w:b/>
          <w:sz w:val="24"/>
          <w:szCs w:val="24"/>
        </w:rPr>
        <w:t xml:space="preserve"> качества освоения программы</w:t>
      </w:r>
    </w:p>
    <w:p w:rsidR="00377BA6" w:rsidRPr="00F8250B" w:rsidRDefault="003100BC" w:rsidP="00F8250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 xml:space="preserve">      </w:t>
      </w:r>
      <w:r w:rsidR="00377BA6" w:rsidRPr="00F8250B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377BA6" w:rsidRPr="00F8250B" w:rsidRDefault="00377BA6" w:rsidP="00F8250B">
      <w:pPr>
        <w:pStyle w:val="a5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F8250B" w:rsidRPr="002026B8" w:rsidRDefault="00F8250B" w:rsidP="00B842D2">
      <w:pPr>
        <w:pStyle w:val="a5"/>
        <w:numPr>
          <w:ilvl w:val="0"/>
          <w:numId w:val="1"/>
        </w:numPr>
        <w:spacing w:after="0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 w:rsidRPr="002026B8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7E63F7" w:rsidRPr="00F02ABA" w:rsidRDefault="00F8250B" w:rsidP="00F02ABA">
      <w:pPr>
        <w:spacing w:after="0"/>
        <w:rPr>
          <w:rFonts w:ascii="Times New Roman" w:hAnsi="Times New Roman"/>
          <w:sz w:val="24"/>
          <w:szCs w:val="24"/>
        </w:rPr>
      </w:pPr>
      <w:r w:rsidRPr="00F8250B">
        <w:rPr>
          <w:rFonts w:ascii="Times New Roman" w:hAnsi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  <w:r w:rsidR="00F02ABA">
        <w:rPr>
          <w:rFonts w:ascii="Times New Roman" w:hAnsi="Times New Roman"/>
          <w:sz w:val="24"/>
          <w:szCs w:val="24"/>
        </w:rPr>
        <w:t xml:space="preserve"> </w:t>
      </w:r>
      <w:r w:rsidR="007E63F7" w:rsidRPr="00BB6958">
        <w:rPr>
          <w:rFonts w:ascii="Times New Roman" w:hAnsi="Times New Roman" w:cs="Times New Roman"/>
          <w:sz w:val="24"/>
          <w:szCs w:val="24"/>
        </w:rPr>
        <w:t>Тест проверяется автоматически. После успешной сдачи итоговой аттестации (</w:t>
      </w:r>
      <w:r w:rsidR="007E63F7" w:rsidRPr="00370452">
        <w:rPr>
          <w:rFonts w:ascii="Times New Roman" w:hAnsi="Times New Roman" w:cs="Times New Roman"/>
          <w:color w:val="000000"/>
          <w:sz w:val="24"/>
          <w:szCs w:val="24"/>
        </w:rPr>
        <w:t>3,4 или 5</w:t>
      </w:r>
      <w:r w:rsidR="007E63F7" w:rsidRPr="00BB6958">
        <w:rPr>
          <w:rFonts w:ascii="Times New Roman" w:hAnsi="Times New Roman" w:cs="Times New Roman"/>
          <w:sz w:val="24"/>
          <w:szCs w:val="24"/>
        </w:rPr>
        <w:t>) выдается удостоверение о повышении квалификации.</w:t>
      </w:r>
    </w:p>
    <w:p w:rsidR="007E63F7" w:rsidRDefault="007E63F7" w:rsidP="00F8250B">
      <w:pPr>
        <w:spacing w:after="0"/>
        <w:rPr>
          <w:rFonts w:ascii="Times New Roman" w:hAnsi="Times New Roman"/>
          <w:sz w:val="24"/>
          <w:szCs w:val="24"/>
        </w:rPr>
      </w:pPr>
    </w:p>
    <w:p w:rsidR="007E49AA" w:rsidRDefault="007E49AA" w:rsidP="007E49AA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F02ABA" w:rsidRPr="00F02ABA" w:rsidRDefault="004807E1" w:rsidP="00F02ABA">
      <w:pPr>
        <w:pStyle w:val="a5"/>
        <w:ind w:left="1070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                                       </w:t>
      </w:r>
      <w:r w:rsidR="00F02ABA" w:rsidRPr="00F02AB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Критерии оценивания</w:t>
      </w:r>
    </w:p>
    <w:p w:rsidR="004807E1" w:rsidRPr="004807E1" w:rsidRDefault="004807E1" w:rsidP="004807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07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Оценка «отлично» выставляется слушателю в случае 90-100% правильных ответов теста. </w:t>
      </w:r>
    </w:p>
    <w:p w:rsidR="004807E1" w:rsidRPr="004807E1" w:rsidRDefault="004807E1" w:rsidP="004807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07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F02ABA" w:rsidRPr="004807E1" w:rsidRDefault="00F02ABA" w:rsidP="004807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07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7E49AA" w:rsidRPr="00F611B9" w:rsidRDefault="007E49AA" w:rsidP="007E49A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B9">
        <w:rPr>
          <w:rFonts w:ascii="Times New Roman" w:hAnsi="Times New Roman" w:cs="Times New Roman"/>
          <w:b/>
          <w:sz w:val="24"/>
          <w:szCs w:val="24"/>
        </w:rPr>
        <w:t>Вопросы итогового теста</w:t>
      </w:r>
    </w:p>
    <w:p w:rsidR="004D7BAA" w:rsidRPr="004D7BAA" w:rsidRDefault="004D7BAA" w:rsidP="004D7B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исследовании физических свойств ликвора определяют его</w:t>
      </w:r>
    </w:p>
    <w:p w:rsidR="004D7BAA" w:rsidRPr="004D7BAA" w:rsidRDefault="004D7BAA" w:rsidP="004D7BA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консистенцию</w:t>
      </w:r>
    </w:p>
    <w:p w:rsidR="004D7BAA" w:rsidRPr="004D7BAA" w:rsidRDefault="004D7BAA" w:rsidP="004D7BA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цвет</w:t>
      </w:r>
    </w:p>
    <w:p w:rsidR="004D7BAA" w:rsidRPr="004D7BAA" w:rsidRDefault="004D7BAA" w:rsidP="004D7BA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характер</w:t>
      </w:r>
    </w:p>
    <w:p w:rsidR="004D7BAA" w:rsidRPr="004D7BAA" w:rsidRDefault="004D7BAA" w:rsidP="004D7BA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вязкость</w:t>
      </w:r>
    </w:p>
    <w:p w:rsidR="004D7BAA" w:rsidRPr="004D7BAA" w:rsidRDefault="004D7BAA" w:rsidP="004D7B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исследовании химических свойств в любом ликворе определяют</w:t>
      </w:r>
      <w:r w:rsid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концентрацию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белка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глюкозы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желчных кислот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г) кетоновых тел</w:t>
      </w:r>
    </w:p>
    <w:p w:rsidR="004D7BAA" w:rsidRPr="004D7BAA" w:rsidRDefault="004D7BAA" w:rsidP="004D7B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обнаружении в моче глюкозы, необходимо провести пробу </w:t>
      </w:r>
      <w:proofErr w:type="gramStart"/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билирубин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уробилин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кетоновые тела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белок</w:t>
      </w:r>
    </w:p>
    <w:p w:rsidR="004D7BAA" w:rsidRPr="004D7BAA" w:rsidRDefault="004D7BAA" w:rsidP="004D7B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Кетоновые тела в моче появляются </w:t>
      </w:r>
      <w:proofErr w:type="gramStart"/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  <w:r w:rsid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длительном </w:t>
      </w:r>
      <w:proofErr w:type="gramStart"/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хранении</w:t>
      </w:r>
      <w:proofErr w:type="gramEnd"/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мочи в условиях комнатной температуры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гемолитической желтухе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пиелонефрите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декомпенсированном сахарном </w:t>
      </w:r>
      <w:proofErr w:type="gramStart"/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диабете</w:t>
      </w:r>
      <w:proofErr w:type="gramEnd"/>
    </w:p>
    <w:p w:rsidR="004D7BAA" w:rsidRPr="004D7BAA" w:rsidRDefault="004D7BAA" w:rsidP="004D7B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гемолитической желтухе в моче отмечается</w:t>
      </w:r>
      <w:r w:rsid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альбуминурия</w:t>
      </w:r>
    </w:p>
    <w:p w:rsidR="004D7BAA" w:rsidRPr="004D7BAA" w:rsidRDefault="004D7BAA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7B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билирубинурия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кетонурия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гиперуробилинурия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элементам неорганического осадка мочи относятся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цилиндры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эпителий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оксалаты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эритроциты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 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исследования осадка мочи по методу Нечипоренко мочу собирают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 течение двенадцати часов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в течение суток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 течение трёх часов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однократно (среднюю порцию утреннего мочеиспускания)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норме количество эритроцитов в 1 мл мочи, при исследовании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методу Нечипоренко не должно превышать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1000 /мл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2000 /мл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4000 /мл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12 000 /мл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Камера Горяева имеет объем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9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мкл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0,9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мкл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0,9 мл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3,2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мкл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Жировые элементы в моче обнаруживаются </w:t>
      </w:r>
      <w:proofErr w:type="gram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нефротическом </w:t>
      </w:r>
      <w:proofErr w:type="gram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синдроме</w:t>
      </w:r>
      <w:proofErr w:type="gramEnd"/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остром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гломерулонефрите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мочекаменной болезни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gram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цистите</w:t>
      </w:r>
      <w:proofErr w:type="gramEnd"/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микроскопической картины мочи при цистите наиболее </w:t>
      </w:r>
      <w:proofErr w:type="gram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характерна</w:t>
      </w:r>
      <w:proofErr w:type="gramEnd"/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цилиндрурия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бактериурия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оксалатурия</w:t>
      </w:r>
      <w:proofErr w:type="spellEnd"/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гематурия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Выберите нормальный показатель мочи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глюкоза 0,2 г/л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относительная плотность 1032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реакция резко-кислая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прозрачность полная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оценки физических свойств выпотных жидкостей проводят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количества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хлоридов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белка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глюкозы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14.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Кровь для проведения общеклинического анализа берут у пациента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до приема пищи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после приема пищи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после физической нагрузки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после приема лекарственных препаратов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15.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результаты общеклинического анализа крови влияет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время суток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прием лекарственных препаратов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физическая нагрузка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время суток, прием лекарственных препаратов, физическая нагрузка</w:t>
      </w:r>
    </w:p>
    <w:p w:rsidR="008D614D" w:rsidRPr="008D614D" w:rsidRDefault="008D614D" w:rsidP="008D61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16. </w:t>
      </w: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крови здорового взрослого человека преобладает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гемоглобин</w:t>
      </w:r>
      <w:proofErr w:type="gram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Нв</w:t>
      </w:r>
      <w:proofErr w:type="spellEnd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А)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гемоглобин F (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Нв</w:t>
      </w:r>
      <w:proofErr w:type="spellEnd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F)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гемоглобин S (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Нв</w:t>
      </w:r>
      <w:proofErr w:type="spellEnd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S)</w:t>
      </w:r>
    </w:p>
    <w:p w:rsidR="008D614D" w:rsidRPr="008D614D" w:rsidRDefault="008D614D" w:rsidP="008D614D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гемоглобин P (</w:t>
      </w:r>
      <w:proofErr w:type="spellStart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Нв</w:t>
      </w:r>
      <w:proofErr w:type="spellEnd"/>
      <w:r w:rsidRPr="008D61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Р)</w:t>
      </w:r>
    </w:p>
    <w:p w:rsidR="0095113A" w:rsidRPr="0095113A" w:rsidRDefault="0095113A" w:rsidP="009511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17.</w:t>
      </w: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Появление в крови эритроцитов, имеющих аномальную форму,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называется</w:t>
      </w:r>
    </w:p>
    <w:p w:rsidR="0095113A" w:rsidRPr="0095113A" w:rsidRDefault="0095113A" w:rsidP="0095113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гипохромия</w:t>
      </w:r>
      <w:proofErr w:type="spellEnd"/>
    </w:p>
    <w:p w:rsidR="0095113A" w:rsidRPr="0095113A" w:rsidRDefault="0095113A" w:rsidP="0095113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гиперхромия</w:t>
      </w:r>
      <w:proofErr w:type="spellEnd"/>
    </w:p>
    <w:p w:rsidR="0095113A" w:rsidRPr="0095113A" w:rsidRDefault="0095113A" w:rsidP="0095113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пойкилоцитоз</w:t>
      </w:r>
      <w:proofErr w:type="spellEnd"/>
    </w:p>
    <w:p w:rsidR="0095113A" w:rsidRPr="0095113A" w:rsidRDefault="0095113A" w:rsidP="0095113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анизоцитоз</w:t>
      </w:r>
      <w:proofErr w:type="spellEnd"/>
    </w:p>
    <w:p w:rsidR="0095113A" w:rsidRPr="0095113A" w:rsidRDefault="001221D5" w:rsidP="009511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18. </w:t>
      </w:r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Разновидностью </w:t>
      </w:r>
      <w:proofErr w:type="spellStart"/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пойкилоцитоза</w:t>
      </w:r>
      <w:proofErr w:type="spellEnd"/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является</w:t>
      </w:r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микроцитоз</w:t>
      </w:r>
      <w:proofErr w:type="spell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акантоцитоз</w:t>
      </w:r>
      <w:proofErr w:type="spell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полихроматофилия</w:t>
      </w:r>
      <w:proofErr w:type="spell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мегалоцитоз</w:t>
      </w:r>
      <w:proofErr w:type="spellEnd"/>
    </w:p>
    <w:p w:rsidR="0095113A" w:rsidRPr="0095113A" w:rsidRDefault="001221D5" w:rsidP="009511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19. </w:t>
      </w:r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Эритроциты размером менее 5 </w:t>
      </w:r>
      <w:proofErr w:type="gramStart"/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мкм</w:t>
      </w:r>
      <w:proofErr w:type="gramEnd"/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имеющие центрального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просветления обнаруживаются в мазках крови при</w:t>
      </w:r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микросфероцитарной анемии</w:t>
      </w:r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апластической</w:t>
      </w:r>
      <w:proofErr w:type="spellEnd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анемии</w:t>
      </w:r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болезни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Виллебранда</w:t>
      </w:r>
      <w:proofErr w:type="spell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болезни Кули</w:t>
      </w:r>
    </w:p>
    <w:p w:rsidR="0095113A" w:rsidRPr="0095113A" w:rsidRDefault="001221D5" w:rsidP="009511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 </w:t>
      </w:r>
      <w:r w:rsidR="0095113A"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Патологическими включениями эритроцитов являются</w:t>
      </w:r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тельца </w:t>
      </w:r>
      <w:proofErr w:type="gram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Деле</w:t>
      </w:r>
      <w:proofErr w:type="gram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тельца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Барра</w:t>
      </w:r>
      <w:proofErr w:type="spell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тельца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Жолли</w:t>
      </w:r>
      <w:proofErr w:type="spellEnd"/>
    </w:p>
    <w:p w:rsidR="0095113A" w:rsidRPr="0095113A" w:rsidRDefault="0095113A" w:rsidP="001221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тельца </w:t>
      </w:r>
      <w:proofErr w:type="spellStart"/>
      <w:r w:rsidRPr="00951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Труссо</w:t>
      </w:r>
      <w:proofErr w:type="spellEnd"/>
    </w:p>
    <w:p w:rsidR="00112EF9" w:rsidRPr="00112EF9" w:rsidRDefault="00112EF9" w:rsidP="00112E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21.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взятии крови для определения СОЭ в качестве антикоагулянта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используют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раствор уксусной кислоты 3%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раствор сульфата магния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раствор цитрата натрия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трансформирующий раствор</w:t>
      </w:r>
    </w:p>
    <w:p w:rsidR="00112EF9" w:rsidRPr="00112EF9" w:rsidRDefault="00112EF9" w:rsidP="00112E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22.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Скорость оседания эритроцитов уменьшается </w:t>
      </w:r>
      <w:proofErr w:type="gram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112EF9" w:rsidRPr="00112EF9" w:rsidRDefault="00112EF9" w:rsidP="00112EF9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gram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увеличении</w:t>
      </w:r>
      <w:proofErr w:type="gramEnd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количества эритроцитов в крови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gram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повышении</w:t>
      </w:r>
      <w:proofErr w:type="gramEnd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уровня глюкозы в крови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gram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увеличении</w:t>
      </w:r>
      <w:proofErr w:type="gramEnd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вязкости крови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gram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увеличении</w:t>
      </w:r>
      <w:proofErr w:type="gramEnd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количества эритроцитов в крови, повышении уровня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глюкозы в крови,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увеличении вязкости крови</w:t>
      </w:r>
    </w:p>
    <w:p w:rsidR="00112EF9" w:rsidRPr="00112EF9" w:rsidRDefault="00112EF9" w:rsidP="00112E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23.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разведения крови, при подсчете лейкоцитов в камере Горяева,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используют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3 % раствор уксусной кислоты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0,9 % раствор натрия хлорида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5 % раствор натрия цитрата</w:t>
      </w:r>
    </w:p>
    <w:p w:rsidR="00112EF9" w:rsidRPr="00112EF9" w:rsidRDefault="00112EF9" w:rsidP="00112EF9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0,5 % раствор </w:t>
      </w:r>
      <w:proofErr w:type="spell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трилона</w:t>
      </w:r>
      <w:proofErr w:type="spellEnd"/>
      <w:proofErr w:type="gramStart"/>
      <w:r w:rsidRPr="00112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</w:t>
      </w:r>
      <w:proofErr w:type="gramEnd"/>
    </w:p>
    <w:p w:rsidR="005D2F68" w:rsidRPr="005D2F68" w:rsidRDefault="005D2F68" w:rsidP="005D2F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24.</w:t>
      </w: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Признаком острого лейкоза является присутствие в крови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ретикулоцитов</w:t>
      </w:r>
      <w:proofErr w:type="spellEnd"/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плазматических клеток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моноцитов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бластов</w:t>
      </w:r>
      <w:proofErr w:type="spellEnd"/>
    </w:p>
    <w:p w:rsidR="005D2F68" w:rsidRPr="005D2F68" w:rsidRDefault="005D2F68" w:rsidP="005D2F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25. </w:t>
      </w: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острых лейкозов характерно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лейкопения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лейкоцитоз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лейкемический провал</w:t>
      </w:r>
    </w:p>
    <w:p w:rsidR="005D2F68" w:rsidRPr="005D2F68" w:rsidRDefault="005D2F68" w:rsidP="005D2F6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2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лейкоцитарный сдвиг влево</w:t>
      </w:r>
    </w:p>
    <w:p w:rsidR="007E49AA" w:rsidRDefault="007E49AA" w:rsidP="00F8250B">
      <w:pPr>
        <w:spacing w:after="0"/>
        <w:rPr>
          <w:rFonts w:ascii="Times New Roman" w:hAnsi="Times New Roman"/>
          <w:sz w:val="24"/>
          <w:szCs w:val="24"/>
        </w:rPr>
      </w:pPr>
    </w:p>
    <w:p w:rsidR="00602311" w:rsidRPr="002026B8" w:rsidRDefault="00846058" w:rsidP="00602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 </w:t>
      </w:r>
    </w:p>
    <w:p w:rsidR="00602311" w:rsidRPr="002026B8" w:rsidRDefault="00602311" w:rsidP="00F82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2026B8" w:rsidRDefault="00377BA6" w:rsidP="00B842D2">
      <w:pPr>
        <w:pStyle w:val="a5"/>
        <w:numPr>
          <w:ilvl w:val="0"/>
          <w:numId w:val="1"/>
        </w:numPr>
        <w:spacing w:after="0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 w:rsidRPr="002026B8">
        <w:rPr>
          <w:rFonts w:ascii="Times New Roman" w:hAnsi="Times New Roman" w:cs="Times New Roman"/>
          <w:b/>
          <w:sz w:val="24"/>
          <w:szCs w:val="24"/>
        </w:rPr>
        <w:t>Составители  программы:</w:t>
      </w:r>
    </w:p>
    <w:p w:rsidR="00377BA6" w:rsidRPr="002026B8" w:rsidRDefault="00377BA6" w:rsidP="00B842D2">
      <w:pPr>
        <w:pStyle w:val="a5"/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</w:p>
    <w:p w:rsidR="00377BA6" w:rsidRPr="002026B8" w:rsidRDefault="00377BA6" w:rsidP="00B84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2026B8" w:rsidRDefault="00377BA6" w:rsidP="00B842D2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</w:p>
    <w:p w:rsidR="00377BA6" w:rsidRPr="002026B8" w:rsidRDefault="00377BA6" w:rsidP="00B84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B84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2026B8" w:rsidRDefault="00377BA6" w:rsidP="00B84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2026B8" w:rsidRDefault="00377BA6" w:rsidP="0065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C" w:rsidRPr="007E49AA" w:rsidRDefault="00AE18FC" w:rsidP="00657D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18FC" w:rsidRPr="007E49AA" w:rsidSect="00AB3B57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7349"/>
    <w:multiLevelType w:val="hybridMultilevel"/>
    <w:tmpl w:val="365EFE6C"/>
    <w:lvl w:ilvl="0" w:tplc="6B5AC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47BE2"/>
    <w:multiLevelType w:val="hybridMultilevel"/>
    <w:tmpl w:val="C9323F00"/>
    <w:lvl w:ilvl="0" w:tplc="FDCC1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43043"/>
    <w:rsid w:val="000B360D"/>
    <w:rsid w:val="000D7498"/>
    <w:rsid w:val="000F3749"/>
    <w:rsid w:val="00110EF9"/>
    <w:rsid w:val="00112EF9"/>
    <w:rsid w:val="001161AA"/>
    <w:rsid w:val="001221D5"/>
    <w:rsid w:val="001661C6"/>
    <w:rsid w:val="00177794"/>
    <w:rsid w:val="00192BAC"/>
    <w:rsid w:val="001A4BF3"/>
    <w:rsid w:val="001E22C1"/>
    <w:rsid w:val="002026B8"/>
    <w:rsid w:val="00231D74"/>
    <w:rsid w:val="00260FB4"/>
    <w:rsid w:val="00261DCF"/>
    <w:rsid w:val="00263277"/>
    <w:rsid w:val="002662CB"/>
    <w:rsid w:val="002928D2"/>
    <w:rsid w:val="00297566"/>
    <w:rsid w:val="002A748F"/>
    <w:rsid w:val="002B1B63"/>
    <w:rsid w:val="002B31FD"/>
    <w:rsid w:val="003100BC"/>
    <w:rsid w:val="00326E4B"/>
    <w:rsid w:val="00337DEF"/>
    <w:rsid w:val="00341928"/>
    <w:rsid w:val="00343907"/>
    <w:rsid w:val="00377BA6"/>
    <w:rsid w:val="00391A93"/>
    <w:rsid w:val="003D315D"/>
    <w:rsid w:val="004502CC"/>
    <w:rsid w:val="004569B7"/>
    <w:rsid w:val="004807E1"/>
    <w:rsid w:val="004A5C99"/>
    <w:rsid w:val="004D7BAA"/>
    <w:rsid w:val="00503742"/>
    <w:rsid w:val="005724C6"/>
    <w:rsid w:val="005A2DBC"/>
    <w:rsid w:val="005C74B3"/>
    <w:rsid w:val="005D15EE"/>
    <w:rsid w:val="005D2F68"/>
    <w:rsid w:val="005E7572"/>
    <w:rsid w:val="005F1528"/>
    <w:rsid w:val="00602311"/>
    <w:rsid w:val="00621F9E"/>
    <w:rsid w:val="00653CFA"/>
    <w:rsid w:val="00657D6D"/>
    <w:rsid w:val="00682CA5"/>
    <w:rsid w:val="00695564"/>
    <w:rsid w:val="006C0EAC"/>
    <w:rsid w:val="006E3930"/>
    <w:rsid w:val="006F1C25"/>
    <w:rsid w:val="00717CB7"/>
    <w:rsid w:val="007254E1"/>
    <w:rsid w:val="00756827"/>
    <w:rsid w:val="007A6755"/>
    <w:rsid w:val="007E49AA"/>
    <w:rsid w:val="007E63F7"/>
    <w:rsid w:val="007E7415"/>
    <w:rsid w:val="007F1A33"/>
    <w:rsid w:val="00846058"/>
    <w:rsid w:val="0085201D"/>
    <w:rsid w:val="00890EC3"/>
    <w:rsid w:val="0089657C"/>
    <w:rsid w:val="008C69DD"/>
    <w:rsid w:val="008D614D"/>
    <w:rsid w:val="008E3AB6"/>
    <w:rsid w:val="0095113A"/>
    <w:rsid w:val="0095184E"/>
    <w:rsid w:val="009541ED"/>
    <w:rsid w:val="00962975"/>
    <w:rsid w:val="0099002C"/>
    <w:rsid w:val="00992325"/>
    <w:rsid w:val="009C6C51"/>
    <w:rsid w:val="00A360DD"/>
    <w:rsid w:val="00A5255F"/>
    <w:rsid w:val="00A84481"/>
    <w:rsid w:val="00AA54C8"/>
    <w:rsid w:val="00AB3B57"/>
    <w:rsid w:val="00AE18FC"/>
    <w:rsid w:val="00AE270D"/>
    <w:rsid w:val="00AF434B"/>
    <w:rsid w:val="00B508FC"/>
    <w:rsid w:val="00B54C89"/>
    <w:rsid w:val="00B81B4B"/>
    <w:rsid w:val="00B83954"/>
    <w:rsid w:val="00B842D2"/>
    <w:rsid w:val="00BE3DC1"/>
    <w:rsid w:val="00C61FCD"/>
    <w:rsid w:val="00CC5A51"/>
    <w:rsid w:val="00CD09CF"/>
    <w:rsid w:val="00CF478E"/>
    <w:rsid w:val="00D230BA"/>
    <w:rsid w:val="00D34B59"/>
    <w:rsid w:val="00D93FD9"/>
    <w:rsid w:val="00DA5C39"/>
    <w:rsid w:val="00DE216D"/>
    <w:rsid w:val="00DF0030"/>
    <w:rsid w:val="00E36014"/>
    <w:rsid w:val="00E473B7"/>
    <w:rsid w:val="00E56341"/>
    <w:rsid w:val="00EB4EBC"/>
    <w:rsid w:val="00ED4AEB"/>
    <w:rsid w:val="00EF4AD8"/>
    <w:rsid w:val="00F02ABA"/>
    <w:rsid w:val="00F112C8"/>
    <w:rsid w:val="00F3536B"/>
    <w:rsid w:val="00F544CF"/>
    <w:rsid w:val="00F611B9"/>
    <w:rsid w:val="00F8250B"/>
    <w:rsid w:val="00F912DB"/>
    <w:rsid w:val="00FB725B"/>
    <w:rsid w:val="00FD7FA0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0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E850-62CA-4038-AE3C-52265FD0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10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69</cp:revision>
  <cp:lastPrinted>2020-01-30T07:07:00Z</cp:lastPrinted>
  <dcterms:created xsi:type="dcterms:W3CDTF">2020-01-23T08:24:00Z</dcterms:created>
  <dcterms:modified xsi:type="dcterms:W3CDTF">2020-11-17T19:45:00Z</dcterms:modified>
</cp:coreProperties>
</file>